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BDE39" w14:textId="3FD6E409" w:rsidR="00093C68" w:rsidRPr="00093C68" w:rsidRDefault="00093C68" w:rsidP="00093C68">
      <w:pPr>
        <w:tabs>
          <w:tab w:val="left" w:pos="3443"/>
        </w:tabs>
        <w:rPr>
          <w:noProof/>
        </w:rPr>
      </w:pPr>
      <w:r>
        <w:rPr>
          <w:noProof/>
        </w:rPr>
        <w:drawing>
          <wp:anchor distT="0" distB="0" distL="114300" distR="114300" simplePos="0" relativeHeight="251658240" behindDoc="1" locked="0" layoutInCell="1" allowOverlap="1" wp14:anchorId="23C4591A" wp14:editId="4A84C422">
            <wp:simplePos x="0" y="0"/>
            <wp:positionH relativeFrom="page">
              <wp:align>left</wp:align>
            </wp:positionH>
            <wp:positionV relativeFrom="paragraph">
              <wp:posOffset>-1000760</wp:posOffset>
            </wp:positionV>
            <wp:extent cx="7823708" cy="10185621"/>
            <wp:effectExtent l="0" t="0" r="6350" b="6350"/>
            <wp:wrapNone/>
            <wp:docPr id="1024410371"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0371" name="Picture 1" descr="A screen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827938" cy="10191128"/>
                    </a:xfrm>
                    <a:prstGeom prst="rect">
                      <a:avLst/>
                    </a:prstGeom>
                  </pic:spPr>
                </pic:pic>
              </a:graphicData>
            </a:graphic>
            <wp14:sizeRelH relativeFrom="margin">
              <wp14:pctWidth>0</wp14:pctWidth>
            </wp14:sizeRelH>
            <wp14:sizeRelV relativeFrom="margin">
              <wp14:pctHeight>0</wp14:pctHeight>
            </wp14:sizeRelV>
          </wp:anchor>
        </w:drawing>
      </w:r>
      <w:r w:rsidR="00D91C2F" w:rsidRPr="00D91C2F">
        <w:rPr>
          <w:b/>
          <w:bCs/>
          <w:i/>
          <w:iCs/>
          <w:noProof/>
        </w:rPr>
        <mc:AlternateContent>
          <mc:Choice Requires="wps">
            <w:drawing>
              <wp:anchor distT="45720" distB="45720" distL="114300" distR="114300" simplePos="0" relativeHeight="251660288" behindDoc="0" locked="0" layoutInCell="1" allowOverlap="1" wp14:anchorId="4F2345E6" wp14:editId="2D93D5F4">
                <wp:simplePos x="0" y="0"/>
                <wp:positionH relativeFrom="column">
                  <wp:posOffset>-71755</wp:posOffset>
                </wp:positionH>
                <wp:positionV relativeFrom="paragraph">
                  <wp:posOffset>-468795</wp:posOffset>
                </wp:positionV>
                <wp:extent cx="29578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1404620"/>
                        </a:xfrm>
                        <a:prstGeom prst="rect">
                          <a:avLst/>
                        </a:prstGeom>
                        <a:noFill/>
                        <a:ln w="9525">
                          <a:noFill/>
                          <a:miter lim="800000"/>
                          <a:headEnd/>
                          <a:tailEnd/>
                        </a:ln>
                      </wps:spPr>
                      <wps:txbx>
                        <w:txbxContent>
                          <w:p w14:paraId="2CF88D15" w14:textId="5E262B6C" w:rsidR="00D91C2F" w:rsidRPr="00DA4A41" w:rsidRDefault="00D91C2F" w:rsidP="00DA4A41">
                            <w:pPr>
                              <w:spacing w:after="0"/>
                              <w:rPr>
                                <w:b/>
                                <w:bCs/>
                                <w:i/>
                                <w:iCs/>
                                <w:color w:val="808080" w:themeColor="background1" w:themeShade="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345E6" id="_x0000_t202" coordsize="21600,21600" o:spt="202" path="m,l,21600r21600,l21600,xe">
                <v:stroke joinstyle="miter"/>
                <v:path gradientshapeok="t" o:connecttype="rect"/>
              </v:shapetype>
              <v:shape id="Text Box 2" o:spid="_x0000_s1026" type="#_x0000_t202" style="position:absolute;margin-left:-5.65pt;margin-top:-36.9pt;width:232.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" filled="f" stroked="f">
                <v:textbox style="mso-fit-shape-to-text:t">
                  <w:txbxContent>
                    <w:p w14:paraId="2CF88D15" w14:textId="5E262B6C" w:rsidR="00D91C2F" w:rsidRPr="00DA4A41" w:rsidRDefault="00D91C2F" w:rsidP="00DA4A41">
                      <w:pPr>
                        <w:spacing w:after="0"/>
                        <w:rPr>
                          <w:b/>
                          <w:bCs/>
                          <w:i/>
                          <w:iCs/>
                          <w:color w:val="808080" w:themeColor="background1" w:themeShade="80"/>
                        </w:rPr>
                      </w:pPr>
                    </w:p>
                  </w:txbxContent>
                </v:textbox>
              </v:shape>
            </w:pict>
          </mc:Fallback>
        </mc:AlternateContent>
      </w:r>
      <w:r w:rsidR="001053B6">
        <w:rPr>
          <w:noProof/>
        </w:rPr>
        <w:tab/>
      </w:r>
    </w:p>
    <w:p w14:paraId="04040518" w14:textId="77777777" w:rsidR="00282666" w:rsidRDefault="00282666" w:rsidP="00BE4722">
      <w:pPr>
        <w:jc w:val="center"/>
        <w:rPr>
          <w:b/>
          <w:bCs/>
        </w:rPr>
      </w:pPr>
    </w:p>
    <w:p w14:paraId="0F64213A" w14:textId="08B14B78" w:rsidR="00093C68" w:rsidRDefault="00B664E6" w:rsidP="00BE4722">
      <w:pPr>
        <w:jc w:val="center"/>
        <w:rPr>
          <w:b/>
          <w:bCs/>
        </w:rPr>
      </w:pPr>
      <w:r>
        <w:rPr>
          <w:b/>
          <w:bCs/>
        </w:rPr>
        <w:t>PREPARING FOR YOUR ONBOARDING MEETING</w:t>
      </w:r>
    </w:p>
    <w:p w14:paraId="33A28A0A" w14:textId="500CAE00" w:rsidR="00282666" w:rsidRDefault="00282666" w:rsidP="00BE4722">
      <w:pPr>
        <w:jc w:val="center"/>
        <w:rPr>
          <w:b/>
          <w:bCs/>
        </w:rPr>
      </w:pPr>
    </w:p>
    <w:p w14:paraId="2E2B5713" w14:textId="36694E2B" w:rsidR="00863984" w:rsidRDefault="00863984" w:rsidP="00863984">
      <w:r>
        <w:t>Being prepared with all your financial documents allows us to address specifically any detailed questions you may have and</w:t>
      </w:r>
      <w:r w:rsidR="00371E9E">
        <w:t xml:space="preserve"> to</w:t>
      </w:r>
      <w:r>
        <w:t xml:space="preserve"> </w:t>
      </w:r>
      <w:r w:rsidR="005750CB">
        <w:t xml:space="preserve">help </w:t>
      </w:r>
      <w:r>
        <w:t xml:space="preserve">ensure a more productive onboarding process. </w:t>
      </w:r>
    </w:p>
    <w:p w14:paraId="06F37590" w14:textId="7B512F64" w:rsidR="00863984" w:rsidRDefault="00863984" w:rsidP="00863984">
      <w:r>
        <w:t xml:space="preserve">The following list of documents that apply to your situation are needed for your onboarding meeting; without them </w:t>
      </w:r>
      <w:r w:rsidR="00CA6331">
        <w:t xml:space="preserve">a </w:t>
      </w:r>
      <w:r>
        <w:t xml:space="preserve">financial </w:t>
      </w:r>
      <w:r w:rsidR="00CA6331">
        <w:t xml:space="preserve">review </w:t>
      </w:r>
      <w:r>
        <w:t xml:space="preserve">cannot be </w:t>
      </w:r>
      <w:r w:rsidR="00CA6331">
        <w:t>conducted</w:t>
      </w:r>
      <w:r>
        <w:t>. *Complete statements are required*</w:t>
      </w:r>
    </w:p>
    <w:p w14:paraId="4A8014AF" w14:textId="77777777" w:rsidR="00AF32AF" w:rsidRDefault="00AF32AF" w:rsidP="00863984"/>
    <w:p w14:paraId="44F1C7BD" w14:textId="0264F76B" w:rsidR="00863984" w:rsidRDefault="00AF32AF" w:rsidP="00863984">
      <w:pPr>
        <w:pStyle w:val="ListParagraph"/>
        <w:numPr>
          <w:ilvl w:val="0"/>
          <w:numId w:val="8"/>
        </w:numPr>
      </w:pPr>
      <w:r>
        <w:t>Latest Income Tax Return</w:t>
      </w:r>
      <w:r w:rsidR="00863984">
        <w:t xml:space="preserve"> </w:t>
      </w:r>
    </w:p>
    <w:p w14:paraId="0A8880DE" w14:textId="6B9670A6" w:rsidR="00863984" w:rsidRDefault="00863984" w:rsidP="00863984">
      <w:pPr>
        <w:pStyle w:val="ListParagraph"/>
        <w:numPr>
          <w:ilvl w:val="0"/>
          <w:numId w:val="8"/>
        </w:numPr>
      </w:pPr>
      <w:r>
        <w:t>Investment Account Statements (401</w:t>
      </w:r>
      <w:r w:rsidR="0094550D">
        <w:t>(</w:t>
      </w:r>
      <w:r>
        <w:t>k</w:t>
      </w:r>
      <w:r w:rsidR="0094550D">
        <w:t>)</w:t>
      </w:r>
      <w:r>
        <w:t>, IRA, Roth IRA, Mutual Funds, Money Market, Stocks, etc.)</w:t>
      </w:r>
    </w:p>
    <w:p w14:paraId="1E03B769" w14:textId="3D3E0B77" w:rsidR="00BF70F8" w:rsidRDefault="00BF70F8" w:rsidP="00863984">
      <w:pPr>
        <w:pStyle w:val="ListParagraph"/>
        <w:numPr>
          <w:ilvl w:val="0"/>
          <w:numId w:val="8"/>
        </w:numPr>
      </w:pPr>
      <w:r>
        <w:t>Most recent pay statement from employer</w:t>
      </w:r>
    </w:p>
    <w:p w14:paraId="5C1594B5" w14:textId="3E4FA689" w:rsidR="00863984" w:rsidRDefault="00863984" w:rsidP="00863984">
      <w:pPr>
        <w:pStyle w:val="ListParagraph"/>
        <w:numPr>
          <w:ilvl w:val="0"/>
          <w:numId w:val="8"/>
        </w:numPr>
      </w:pPr>
      <w:r>
        <w:t>Social Security Estimates (</w:t>
      </w:r>
      <w:hyperlink r:id="rId8" w:history="1">
        <w:r w:rsidR="00744A97" w:rsidRPr="00560A1F">
          <w:rPr>
            <w:rStyle w:val="Hyperlink"/>
          </w:rPr>
          <w:t>www.ssa.gov/estimator</w:t>
        </w:r>
      </w:hyperlink>
      <w:r>
        <w:t>)</w:t>
      </w:r>
      <w:r w:rsidR="00744A97">
        <w:t xml:space="preserve"> </w:t>
      </w:r>
    </w:p>
    <w:p w14:paraId="42F6BA72" w14:textId="6B72C386" w:rsidR="00863984" w:rsidRDefault="00863984" w:rsidP="00863984">
      <w:pPr>
        <w:pStyle w:val="ListParagraph"/>
        <w:numPr>
          <w:ilvl w:val="0"/>
          <w:numId w:val="8"/>
        </w:numPr>
      </w:pPr>
      <w:r>
        <w:t>Pension Benefit Statements</w:t>
      </w:r>
    </w:p>
    <w:p w14:paraId="2848373A" w14:textId="42684425" w:rsidR="008B04E9" w:rsidRDefault="008B04E9" w:rsidP="00863984">
      <w:pPr>
        <w:pStyle w:val="ListParagraph"/>
        <w:numPr>
          <w:ilvl w:val="0"/>
          <w:numId w:val="8"/>
        </w:numPr>
      </w:pPr>
      <w:r>
        <w:t>Annuity Statements</w:t>
      </w:r>
    </w:p>
    <w:p w14:paraId="66FC31E0" w14:textId="7A061F16" w:rsidR="008B04E9" w:rsidRDefault="008B04E9" w:rsidP="00863984">
      <w:pPr>
        <w:pStyle w:val="ListParagraph"/>
        <w:numPr>
          <w:ilvl w:val="0"/>
          <w:numId w:val="8"/>
        </w:numPr>
      </w:pPr>
      <w:r>
        <w:t xml:space="preserve">Insurance Files (Life, Disability, Long Term </w:t>
      </w:r>
      <w:r w:rsidR="00EB15DE">
        <w:t>Care)</w:t>
      </w:r>
    </w:p>
    <w:p w14:paraId="0E5B8753" w14:textId="5E4A881D" w:rsidR="00863984" w:rsidRDefault="00863984" w:rsidP="00863984">
      <w:pPr>
        <w:pStyle w:val="ListParagraph"/>
        <w:numPr>
          <w:ilvl w:val="0"/>
          <w:numId w:val="8"/>
        </w:numPr>
      </w:pPr>
      <w:r>
        <w:t>Banking information: account type and average balance</w:t>
      </w:r>
    </w:p>
    <w:p w14:paraId="7A75210F" w14:textId="4559C118" w:rsidR="0060358C" w:rsidRDefault="0060358C" w:rsidP="00863984">
      <w:pPr>
        <w:pStyle w:val="ListParagraph"/>
        <w:numPr>
          <w:ilvl w:val="0"/>
          <w:numId w:val="8"/>
        </w:numPr>
      </w:pPr>
      <w:r>
        <w:t>H</w:t>
      </w:r>
      <w:r w:rsidR="00210B20">
        <w:t>SA</w:t>
      </w:r>
      <w:r>
        <w:t xml:space="preserve"> Statement</w:t>
      </w:r>
    </w:p>
    <w:p w14:paraId="605C4ABE" w14:textId="20B5B731" w:rsidR="0060358C" w:rsidRDefault="0060358C" w:rsidP="00863984">
      <w:pPr>
        <w:pStyle w:val="ListParagraph"/>
        <w:numPr>
          <w:ilvl w:val="0"/>
          <w:numId w:val="8"/>
        </w:numPr>
      </w:pPr>
      <w:r>
        <w:t>529 Statement</w:t>
      </w:r>
    </w:p>
    <w:p w14:paraId="6275CF46" w14:textId="314A6BC8" w:rsidR="005A428C" w:rsidRDefault="005A428C" w:rsidP="005A428C">
      <w:pPr>
        <w:pStyle w:val="ListParagraph"/>
        <w:numPr>
          <w:ilvl w:val="0"/>
          <w:numId w:val="8"/>
        </w:numPr>
      </w:pPr>
      <w:r>
        <w:t>Debt (Mortgage, car loan, credit card, student loans, business loans)</w:t>
      </w:r>
    </w:p>
    <w:p w14:paraId="686341CF" w14:textId="043BBDC9" w:rsidR="00863984" w:rsidRDefault="00863984" w:rsidP="00863984">
      <w:pPr>
        <w:pStyle w:val="ListParagraph"/>
        <w:numPr>
          <w:ilvl w:val="0"/>
          <w:numId w:val="8"/>
        </w:numPr>
      </w:pPr>
      <w:r>
        <w:t xml:space="preserve">Estate </w:t>
      </w:r>
      <w:r w:rsidR="00591976">
        <w:t>P</w:t>
      </w:r>
      <w:r>
        <w:t xml:space="preserve">lanning </w:t>
      </w:r>
      <w:r w:rsidR="00591976">
        <w:t>D</w:t>
      </w:r>
      <w:r>
        <w:t>ocuments (Wills &amp; Trust</w:t>
      </w:r>
      <w:r w:rsidR="00BF70F8">
        <w:t>s</w:t>
      </w:r>
      <w:r>
        <w:t>)</w:t>
      </w:r>
    </w:p>
    <w:p w14:paraId="1055F0D0" w14:textId="31F70A55" w:rsidR="001053B6" w:rsidRPr="00093C68" w:rsidRDefault="00686C91" w:rsidP="00B664E6">
      <w:pPr>
        <w:spacing w:line="480" w:lineRule="auto"/>
      </w:pPr>
      <w:r>
        <w:rPr>
          <w:noProof/>
        </w:rPr>
        <mc:AlternateContent>
          <mc:Choice Requires="wps">
            <w:drawing>
              <wp:anchor distT="45720" distB="45720" distL="114300" distR="114300" simplePos="0" relativeHeight="251664384" behindDoc="0" locked="0" layoutInCell="1" allowOverlap="1" wp14:anchorId="48B1A707" wp14:editId="201CFE9C">
                <wp:simplePos x="0" y="0"/>
                <wp:positionH relativeFrom="margin">
                  <wp:posOffset>-457200</wp:posOffset>
                </wp:positionH>
                <wp:positionV relativeFrom="paragraph">
                  <wp:posOffset>1374775</wp:posOffset>
                </wp:positionV>
                <wp:extent cx="3611880" cy="1272540"/>
                <wp:effectExtent l="0" t="0" r="0" b="3810"/>
                <wp:wrapSquare wrapText="bothSides"/>
                <wp:docPr id="221946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272540"/>
                        </a:xfrm>
                        <a:prstGeom prst="rect">
                          <a:avLst/>
                        </a:prstGeom>
                        <a:noFill/>
                        <a:ln w="9525">
                          <a:noFill/>
                          <a:miter lim="800000"/>
                          <a:headEnd/>
                          <a:tailEnd/>
                        </a:ln>
                      </wps:spPr>
                      <wps:txbx>
                        <w:txbxContent>
                          <w:p w14:paraId="68AA78F2" w14:textId="77777777" w:rsidR="00686C91" w:rsidRPr="00686C91" w:rsidRDefault="00686C91" w:rsidP="00686C91">
                            <w:r w:rsidRPr="00686C91">
                              <w:rPr>
                                <w:b/>
                                <w:bCs/>
                              </w:rPr>
                              <w:t xml:space="preserve">John W. Noey, CFP®, EA </w:t>
                            </w:r>
                            <w:r w:rsidRPr="00686C91">
                              <w:t xml:space="preserve">| CEO </w:t>
                            </w:r>
                          </w:p>
                          <w:p w14:paraId="74706236" w14:textId="30EF555C" w:rsidR="00686C91" w:rsidRPr="00686C91" w:rsidRDefault="00686C91" w:rsidP="00686C91">
                            <w:r w:rsidRPr="00686C91">
                              <w:t>North Texas Tax &amp; Financial</w:t>
                            </w:r>
                          </w:p>
                          <w:p w14:paraId="1674A263" w14:textId="77777777" w:rsidR="00686C91" w:rsidRPr="00686C91" w:rsidRDefault="00686C91" w:rsidP="00686C91">
                            <w:r w:rsidRPr="00686C91">
                              <w:t>5080 Spectrum Dr. #1200E Addison, Texas 75001</w:t>
                            </w:r>
                          </w:p>
                          <w:p w14:paraId="138671AE" w14:textId="77777777" w:rsidR="00686C91" w:rsidRPr="00686C91" w:rsidRDefault="00686C91" w:rsidP="00686C91">
                            <w:r w:rsidRPr="00686C91">
                              <w:t xml:space="preserve">o +1.469.715.3520 | f+1.866.327.1039 </w:t>
                            </w:r>
                          </w:p>
                          <w:p w14:paraId="44FCC0A3" w14:textId="70CB1936" w:rsidR="00686C91" w:rsidRPr="00686C91" w:rsidRDefault="00686C91">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1A707" id="_x0000_s1027" type="#_x0000_t202" style="position:absolute;margin-left:-36pt;margin-top:108.25pt;width:284.4pt;height:100.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" filled="f" stroked="f">
                <v:textbox>
                  <w:txbxContent>
                    <w:p w14:paraId="68AA78F2" w14:textId="77777777" w:rsidR="00686C91" w:rsidRPr="00686C91" w:rsidRDefault="00686C91" w:rsidP="00686C91">
                      <w:r w:rsidRPr="00686C91">
                        <w:rPr>
                          <w:b/>
                          <w:bCs/>
                        </w:rPr>
                        <w:t xml:space="preserve">John W. Noey, CFP®, EA </w:t>
                      </w:r>
                      <w:r w:rsidRPr="00686C91">
                        <w:t xml:space="preserve">| CEO </w:t>
                      </w:r>
                    </w:p>
                    <w:p w14:paraId="74706236" w14:textId="30EF555C" w:rsidR="00686C91" w:rsidRPr="00686C91" w:rsidRDefault="00686C91" w:rsidP="00686C91">
                      <w:r w:rsidRPr="00686C91">
                        <w:t>North Texas Tax &amp; Financial</w:t>
                      </w:r>
                    </w:p>
                    <w:p w14:paraId="1674A263" w14:textId="77777777" w:rsidR="00686C91" w:rsidRPr="00686C91" w:rsidRDefault="00686C91" w:rsidP="00686C91">
                      <w:r w:rsidRPr="00686C91">
                        <w:t>5080 Spectrum Dr. #1200E Addison, Texas 75001</w:t>
                      </w:r>
                    </w:p>
                    <w:p w14:paraId="138671AE" w14:textId="77777777" w:rsidR="00686C91" w:rsidRPr="00686C91" w:rsidRDefault="00686C91" w:rsidP="00686C91">
                      <w:r w:rsidRPr="00686C91">
                        <w:t xml:space="preserve">o +1.469.715.3520 | f+1.866.327.1039 </w:t>
                      </w:r>
                    </w:p>
                    <w:p w14:paraId="44FCC0A3" w14:textId="70CB1936" w:rsidR="00686C91" w:rsidRPr="00686C91" w:rsidRDefault="00686C91">
                      <w:pPr>
                        <w:rPr>
                          <w:sz w:val="24"/>
                          <w:szCs w:val="24"/>
                        </w:rPr>
                      </w:pPr>
                    </w:p>
                  </w:txbxContent>
                </v:textbox>
                <w10:wrap type="square" anchorx="margin"/>
              </v:shape>
            </w:pict>
          </mc:Fallback>
        </mc:AlternateContent>
      </w:r>
      <w:r w:rsidR="00CF4B4B">
        <w:rPr>
          <w:noProof/>
        </w:rPr>
        <mc:AlternateContent>
          <mc:Choice Requires="wps">
            <w:drawing>
              <wp:anchor distT="45720" distB="45720" distL="114300" distR="114300" simplePos="0" relativeHeight="251662336" behindDoc="0" locked="0" layoutInCell="1" allowOverlap="1" wp14:anchorId="4279A4F9" wp14:editId="7ED99912">
                <wp:simplePos x="0" y="0"/>
                <wp:positionH relativeFrom="column">
                  <wp:posOffset>-464820</wp:posOffset>
                </wp:positionH>
                <wp:positionV relativeFrom="paragraph">
                  <wp:posOffset>2677795</wp:posOffset>
                </wp:positionV>
                <wp:extent cx="7078980" cy="1424940"/>
                <wp:effectExtent l="0" t="0" r="0" b="3810"/>
                <wp:wrapNone/>
                <wp:docPr id="2132205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1424940"/>
                        </a:xfrm>
                        <a:prstGeom prst="rect">
                          <a:avLst/>
                        </a:prstGeom>
                        <a:noFill/>
                        <a:ln w="9525">
                          <a:noFill/>
                          <a:miter lim="800000"/>
                          <a:headEnd/>
                          <a:tailEnd/>
                        </a:ln>
                      </wps:spPr>
                      <wps:txbx>
                        <w:txbxContent>
                          <w:p w14:paraId="3CFD34C9" w14:textId="749402F1" w:rsidR="00CF4B4B" w:rsidRPr="00CF4B4B" w:rsidRDefault="00CF4B4B" w:rsidP="00EA0D90">
                            <w:pPr>
                              <w:jc w:val="both"/>
                              <w:rPr>
                                <w:rFonts w:ascii="Arial" w:hAnsi="Arial" w:cs="Arial"/>
                                <w:sz w:val="16"/>
                                <w:szCs w:val="16"/>
                              </w:rPr>
                            </w:pPr>
                            <w:r w:rsidRPr="00CF4B4B">
                              <w:rPr>
                                <w:rFonts w:ascii="Arial" w:hAnsi="Arial" w:cs="Arial"/>
                                <w:sz w:val="16"/>
                                <w:szCs w:val="16"/>
                              </w:rPr>
                              <w:t>Insurance products issued by Principal National Life Insurance Company (except in NY), Principal Life Insurance Company®, and the companies available through the Preferred Product Network, Inc. Securities and advisory products offered through Principal Securities, Inc. member SIPC. Referenced companies are members of the Principal Financial Group®, Des Moines, IA 50392. John W. Noey, Principal National and Principal Life Financial Representative, Principal Securities Registered Representative, Financial Advisor. Certified Financial Planner Board of Standards, Inc. (CFP Board) owns the certification marks CFP® and CFP® (with plaque design) in the United States, which it authorizes use of by individuals who successfully complete CFP Board’s initial and ongoing certification requirements. Enrolled Agent (EA) does not provide tax or accounting services on behalf of the companies of the Principal Financial Group®. North Texas Tax and Financial is not an affiliate of any company of the Principal Financial Group®.</w:t>
                            </w:r>
                            <w:r w:rsidR="0048089B">
                              <w:rPr>
                                <w:rFonts w:ascii="Arial" w:hAnsi="Arial" w:cs="Arial"/>
                                <w:sz w:val="16"/>
                                <w:szCs w:val="16"/>
                              </w:rPr>
                              <w:t xml:space="preserve"> </w:t>
                            </w:r>
                            <w:r w:rsidR="004536A3">
                              <w:rPr>
                                <w:rFonts w:ascii="Arial" w:hAnsi="Arial" w:cs="Arial"/>
                                <w:sz w:val="16"/>
                                <w:szCs w:val="16"/>
                              </w:rPr>
                              <w:t>3808358-082024</w:t>
                            </w:r>
                          </w:p>
                          <w:p w14:paraId="406E1818" w14:textId="61F0A1B3" w:rsidR="00CF4B4B" w:rsidRDefault="00CF4B4B" w:rsidP="00EA0D90">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9A4F9" id="_x0000_s1028" type="#_x0000_t202" style="position:absolute;margin-left:-36.6pt;margin-top:210.85pt;width:557.4pt;height:112.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" filled="f" stroked="f">
                <v:textbox>
                  <w:txbxContent>
                    <w:p w14:paraId="3CFD34C9" w14:textId="749402F1" w:rsidR="00CF4B4B" w:rsidRPr="00CF4B4B" w:rsidRDefault="00CF4B4B" w:rsidP="00EA0D90">
                      <w:pPr>
                        <w:jc w:val="both"/>
                        <w:rPr>
                          <w:rFonts w:ascii="Arial" w:hAnsi="Arial" w:cs="Arial"/>
                          <w:sz w:val="16"/>
                          <w:szCs w:val="16"/>
                        </w:rPr>
                      </w:pPr>
                      <w:r w:rsidRPr="00CF4B4B">
                        <w:rPr>
                          <w:rFonts w:ascii="Arial" w:hAnsi="Arial" w:cs="Arial"/>
                          <w:sz w:val="16"/>
                          <w:szCs w:val="16"/>
                        </w:rPr>
                        <w:t>Insurance products issued by Principal National Life Insurance Company (except in NY), Principal Life Insurance Company®, and the companies available through the Preferred Product Network, Inc. Securities and advisory products offered through Principal Securities, Inc. member SIPC. Referenced companies are members of the Principal Financial Group®, Des Moines, IA 50392. John W. Noey, Principal National and Principal Life Financial Representative, Principal Securities Registered Representative, Financial Advisor. Certified Financial Planner Board of Standards, Inc. (CFP Board) owns the certification marks CFP® and CFP® (with plaque design) in the United States, which it authorizes use of by individuals who successfully complete CFP Board’s initial and ongoing certification requirements. Enrolled Agent (EA) does not provide tax or accounting services on behalf of the companies of the Principal Financial Group®. North Texas Tax and Financial is not an affiliate of any company of the Principal Financial Group®.</w:t>
                      </w:r>
                      <w:r w:rsidR="0048089B">
                        <w:rPr>
                          <w:rFonts w:ascii="Arial" w:hAnsi="Arial" w:cs="Arial"/>
                          <w:sz w:val="16"/>
                          <w:szCs w:val="16"/>
                        </w:rPr>
                        <w:t xml:space="preserve"> </w:t>
                      </w:r>
                      <w:r w:rsidR="004536A3">
                        <w:rPr>
                          <w:rFonts w:ascii="Arial" w:hAnsi="Arial" w:cs="Arial"/>
                          <w:sz w:val="16"/>
                          <w:szCs w:val="16"/>
                        </w:rPr>
                        <w:t>3808358-082024</w:t>
                      </w:r>
                    </w:p>
                    <w:p w14:paraId="406E1818" w14:textId="61F0A1B3" w:rsidR="00CF4B4B" w:rsidRDefault="00CF4B4B" w:rsidP="00EA0D90">
                      <w:pPr>
                        <w:jc w:val="both"/>
                      </w:pPr>
                    </w:p>
                  </w:txbxContent>
                </v:textbox>
              </v:shape>
            </w:pict>
          </mc:Fallback>
        </mc:AlternateContent>
      </w:r>
    </w:p>
    <w:sectPr w:rsidR="001053B6" w:rsidRPr="00093C68" w:rsidSect="00AA223B">
      <w:footerReference w:type="even" r:id="rId9"/>
      <w:footerReference w:type="defaul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B27AB" w14:textId="77777777" w:rsidR="005718C0" w:rsidRDefault="005718C0" w:rsidP="00A251D3">
      <w:pPr>
        <w:spacing w:after="0" w:line="240" w:lineRule="auto"/>
      </w:pPr>
      <w:r>
        <w:separator/>
      </w:r>
    </w:p>
  </w:endnote>
  <w:endnote w:type="continuationSeparator" w:id="0">
    <w:p w14:paraId="19FD653D" w14:textId="77777777" w:rsidR="005718C0" w:rsidRDefault="005718C0" w:rsidP="00A25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Elliot Pro">
    <w:panose1 w:val="02000503040000020004"/>
    <w:charset w:val="00"/>
    <w:family w:val="modern"/>
    <w:notTrueType/>
    <w:pitch w:val="variable"/>
    <w:sig w:usb0="A00002AF" w:usb1="5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F1B8" w14:textId="51037261" w:rsidR="00A251D3" w:rsidRDefault="00A251D3">
    <w:pPr>
      <w:pStyle w:val="Footer"/>
    </w:pPr>
    <w:r>
      <w:rPr>
        <w:noProof/>
      </w:rPr>
      <mc:AlternateContent>
        <mc:Choice Requires="wps">
          <w:drawing>
            <wp:anchor distT="0" distB="0" distL="0" distR="0" simplePos="0" relativeHeight="251659264" behindDoc="0" locked="0" layoutInCell="1" allowOverlap="1" wp14:anchorId="0C47DD44" wp14:editId="7959C045">
              <wp:simplePos x="635" y="635"/>
              <wp:positionH relativeFrom="page">
                <wp:align>left</wp:align>
              </wp:positionH>
              <wp:positionV relativeFrom="page">
                <wp:align>bottom</wp:align>
              </wp:positionV>
              <wp:extent cx="443865" cy="443865"/>
              <wp:effectExtent l="0" t="0" r="8890" b="0"/>
              <wp:wrapNone/>
              <wp:docPr id="1671687632" name="Text Box 2" descr="Classification: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B88C9" w14:textId="2EAB7FBB" w:rsidR="00A251D3" w:rsidRPr="00A251D3" w:rsidRDefault="00A251D3" w:rsidP="00A251D3">
                          <w:pPr>
                            <w:spacing w:after="0"/>
                            <w:rPr>
                              <w:rFonts w:ascii="FS Elliot Pro" w:eastAsia="FS Elliot Pro" w:hAnsi="FS Elliot Pro" w:cs="FS Elliot Pro"/>
                              <w:noProof/>
                              <w:color w:val="737373"/>
                              <w:sz w:val="18"/>
                              <w:szCs w:val="18"/>
                            </w:rPr>
                          </w:pPr>
                          <w:r w:rsidRPr="00A251D3">
                            <w:rPr>
                              <w:rFonts w:ascii="FS Elliot Pro" w:eastAsia="FS Elliot Pro" w:hAnsi="FS Elliot Pro" w:cs="FS Elliot Pro"/>
                              <w:noProof/>
                              <w:color w:val="737373"/>
                              <w:sz w:val="18"/>
                              <w:szCs w:val="18"/>
                            </w:rPr>
                            <w:t>Classification: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47DD44" id="_x0000_t202" coordsize="21600,21600" o:spt="202" path="m,l,21600r21600,l21600,xe">
              <v:stroke joinstyle="miter"/>
              <v:path gradientshapeok="t" o:connecttype="rect"/>
            </v:shapetype>
            <v:shape id="_x0000_s1029" type="#_x0000_t202" alt="Classification: Internal Use"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BAB88C9" w14:textId="2EAB7FBB" w:rsidR="00A251D3" w:rsidRPr="00A251D3" w:rsidRDefault="00A251D3" w:rsidP="00A251D3">
                    <w:pPr>
                      <w:spacing w:after="0"/>
                      <w:rPr>
                        <w:rFonts w:ascii="FS Elliot Pro" w:eastAsia="FS Elliot Pro" w:hAnsi="FS Elliot Pro" w:cs="FS Elliot Pro"/>
                        <w:noProof/>
                        <w:color w:val="737373"/>
                        <w:sz w:val="18"/>
                        <w:szCs w:val="18"/>
                      </w:rPr>
                    </w:pPr>
                    <w:r w:rsidRPr="00A251D3">
                      <w:rPr>
                        <w:rFonts w:ascii="FS Elliot Pro" w:eastAsia="FS Elliot Pro" w:hAnsi="FS Elliot Pro" w:cs="FS Elliot Pro"/>
                        <w:noProof/>
                        <w:color w:val="737373"/>
                        <w:sz w:val="18"/>
                        <w:szCs w:val="18"/>
                      </w:rPr>
                      <w:t>Classification: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0BB56" w14:textId="3299D07D" w:rsidR="00A251D3" w:rsidRDefault="00A251D3">
    <w:pPr>
      <w:pStyle w:val="Footer"/>
    </w:pPr>
    <w:r>
      <w:rPr>
        <w:noProof/>
      </w:rPr>
      <mc:AlternateContent>
        <mc:Choice Requires="wps">
          <w:drawing>
            <wp:anchor distT="0" distB="0" distL="0" distR="0" simplePos="0" relativeHeight="251660288" behindDoc="0" locked="0" layoutInCell="1" allowOverlap="1" wp14:anchorId="51E019A3" wp14:editId="14B2F14B">
              <wp:simplePos x="914400" y="9429293"/>
              <wp:positionH relativeFrom="page">
                <wp:align>left</wp:align>
              </wp:positionH>
              <wp:positionV relativeFrom="page">
                <wp:align>bottom</wp:align>
              </wp:positionV>
              <wp:extent cx="443865" cy="443865"/>
              <wp:effectExtent l="0" t="0" r="8890" b="0"/>
              <wp:wrapNone/>
              <wp:docPr id="1170477718" name="Text Box 3" descr="Classification: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462DA" w14:textId="60714000" w:rsidR="00A251D3" w:rsidRPr="00A251D3" w:rsidRDefault="00A251D3" w:rsidP="00A251D3">
                          <w:pPr>
                            <w:spacing w:after="0"/>
                            <w:rPr>
                              <w:rFonts w:ascii="FS Elliot Pro" w:eastAsia="FS Elliot Pro" w:hAnsi="FS Elliot Pro" w:cs="FS Elliot Pro"/>
                              <w:noProof/>
                              <w:color w:val="737373"/>
                              <w:sz w:val="18"/>
                              <w:szCs w:val="18"/>
                            </w:rPr>
                          </w:pPr>
                          <w:r w:rsidRPr="00A251D3">
                            <w:rPr>
                              <w:rFonts w:ascii="FS Elliot Pro" w:eastAsia="FS Elliot Pro" w:hAnsi="FS Elliot Pro" w:cs="FS Elliot Pro"/>
                              <w:noProof/>
                              <w:color w:val="737373"/>
                              <w:sz w:val="18"/>
                              <w:szCs w:val="18"/>
                            </w:rPr>
                            <w:t>Classification: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E019A3" id="_x0000_t202" coordsize="21600,21600" o:spt="202" path="m,l,21600r21600,l21600,xe">
              <v:stroke joinstyle="miter"/>
              <v:path gradientshapeok="t" o:connecttype="rect"/>
            </v:shapetype>
            <v:shape id="Text Box 3" o:spid="_x0000_s1030" type="#_x0000_t202" alt="Classification: Internal Use"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FA462DA" w14:textId="60714000" w:rsidR="00A251D3" w:rsidRPr="00A251D3" w:rsidRDefault="00A251D3" w:rsidP="00A251D3">
                    <w:pPr>
                      <w:spacing w:after="0"/>
                      <w:rPr>
                        <w:rFonts w:ascii="FS Elliot Pro" w:eastAsia="FS Elliot Pro" w:hAnsi="FS Elliot Pro" w:cs="FS Elliot Pro"/>
                        <w:noProof/>
                        <w:color w:val="737373"/>
                        <w:sz w:val="18"/>
                        <w:szCs w:val="18"/>
                      </w:rPr>
                    </w:pPr>
                    <w:r w:rsidRPr="00A251D3">
                      <w:rPr>
                        <w:rFonts w:ascii="FS Elliot Pro" w:eastAsia="FS Elliot Pro" w:hAnsi="FS Elliot Pro" w:cs="FS Elliot Pro"/>
                        <w:noProof/>
                        <w:color w:val="737373"/>
                        <w:sz w:val="18"/>
                        <w:szCs w:val="18"/>
                      </w:rPr>
                      <w:t>Classification: 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703C" w14:textId="22C187BE" w:rsidR="00A251D3" w:rsidRDefault="00A251D3">
    <w:pPr>
      <w:pStyle w:val="Footer"/>
    </w:pPr>
    <w:r>
      <w:rPr>
        <w:noProof/>
      </w:rPr>
      <mc:AlternateContent>
        <mc:Choice Requires="wps">
          <w:drawing>
            <wp:anchor distT="0" distB="0" distL="0" distR="0" simplePos="0" relativeHeight="251658240" behindDoc="0" locked="0" layoutInCell="1" allowOverlap="1" wp14:anchorId="75814E33" wp14:editId="631D6852">
              <wp:simplePos x="635" y="635"/>
              <wp:positionH relativeFrom="page">
                <wp:align>left</wp:align>
              </wp:positionH>
              <wp:positionV relativeFrom="page">
                <wp:align>bottom</wp:align>
              </wp:positionV>
              <wp:extent cx="443865" cy="443865"/>
              <wp:effectExtent l="0" t="0" r="8890" b="0"/>
              <wp:wrapNone/>
              <wp:docPr id="1517994830" name="Text Box 1" descr="Classification: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51E7C" w14:textId="02CF50D8" w:rsidR="00A251D3" w:rsidRPr="00A251D3" w:rsidRDefault="00A251D3" w:rsidP="00A251D3">
                          <w:pPr>
                            <w:spacing w:after="0"/>
                            <w:rPr>
                              <w:rFonts w:ascii="FS Elliot Pro" w:eastAsia="FS Elliot Pro" w:hAnsi="FS Elliot Pro" w:cs="FS Elliot Pro"/>
                              <w:noProof/>
                              <w:color w:val="737373"/>
                              <w:sz w:val="18"/>
                              <w:szCs w:val="18"/>
                            </w:rPr>
                          </w:pPr>
                          <w:r w:rsidRPr="00A251D3">
                            <w:rPr>
                              <w:rFonts w:ascii="FS Elliot Pro" w:eastAsia="FS Elliot Pro" w:hAnsi="FS Elliot Pro" w:cs="FS Elliot Pro"/>
                              <w:noProof/>
                              <w:color w:val="737373"/>
                              <w:sz w:val="18"/>
                              <w:szCs w:val="18"/>
                            </w:rPr>
                            <w:t>Classification: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814E33" id="_x0000_t202" coordsize="21600,21600" o:spt="202" path="m,l,21600r21600,l21600,xe">
              <v:stroke joinstyle="miter"/>
              <v:path gradientshapeok="t" o:connecttype="rect"/>
            </v:shapetype>
            <v:shape id="Text Box 1" o:spid="_x0000_s1031" type="#_x0000_t202" alt="Classification: Internal Use"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AE51E7C" w14:textId="02CF50D8" w:rsidR="00A251D3" w:rsidRPr="00A251D3" w:rsidRDefault="00A251D3" w:rsidP="00A251D3">
                    <w:pPr>
                      <w:spacing w:after="0"/>
                      <w:rPr>
                        <w:rFonts w:ascii="FS Elliot Pro" w:eastAsia="FS Elliot Pro" w:hAnsi="FS Elliot Pro" w:cs="FS Elliot Pro"/>
                        <w:noProof/>
                        <w:color w:val="737373"/>
                        <w:sz w:val="18"/>
                        <w:szCs w:val="18"/>
                      </w:rPr>
                    </w:pPr>
                    <w:r w:rsidRPr="00A251D3">
                      <w:rPr>
                        <w:rFonts w:ascii="FS Elliot Pro" w:eastAsia="FS Elliot Pro" w:hAnsi="FS Elliot Pro" w:cs="FS Elliot Pro"/>
                        <w:noProof/>
                        <w:color w:val="737373"/>
                        <w:sz w:val="18"/>
                        <w:szCs w:val="18"/>
                      </w:rPr>
                      <w:t>Classification: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6D457" w14:textId="77777777" w:rsidR="005718C0" w:rsidRDefault="005718C0" w:rsidP="00A251D3">
      <w:pPr>
        <w:spacing w:after="0" w:line="240" w:lineRule="auto"/>
      </w:pPr>
      <w:r>
        <w:separator/>
      </w:r>
    </w:p>
  </w:footnote>
  <w:footnote w:type="continuationSeparator" w:id="0">
    <w:p w14:paraId="75F6ADD1" w14:textId="77777777" w:rsidR="005718C0" w:rsidRDefault="005718C0" w:rsidP="00A251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8003C"/>
    <w:multiLevelType w:val="hybridMultilevel"/>
    <w:tmpl w:val="31B68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2619F"/>
    <w:multiLevelType w:val="hybridMultilevel"/>
    <w:tmpl w:val="74DC77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A5B1E"/>
    <w:multiLevelType w:val="hybridMultilevel"/>
    <w:tmpl w:val="A14C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03D02"/>
    <w:multiLevelType w:val="hybridMultilevel"/>
    <w:tmpl w:val="7EAAE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D37DB"/>
    <w:multiLevelType w:val="hybridMultilevel"/>
    <w:tmpl w:val="0D7A8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60781"/>
    <w:multiLevelType w:val="hybridMultilevel"/>
    <w:tmpl w:val="439E7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B3D28"/>
    <w:multiLevelType w:val="hybridMultilevel"/>
    <w:tmpl w:val="C0D088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CA48A6"/>
    <w:multiLevelType w:val="hybridMultilevel"/>
    <w:tmpl w:val="A764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804521">
    <w:abstractNumId w:val="5"/>
  </w:num>
  <w:num w:numId="2" w16cid:durableId="1151865216">
    <w:abstractNumId w:val="4"/>
  </w:num>
  <w:num w:numId="3" w16cid:durableId="1830900337">
    <w:abstractNumId w:val="0"/>
  </w:num>
  <w:num w:numId="4" w16cid:durableId="456071934">
    <w:abstractNumId w:val="1"/>
  </w:num>
  <w:num w:numId="5" w16cid:durableId="1860898809">
    <w:abstractNumId w:val="3"/>
  </w:num>
  <w:num w:numId="6" w16cid:durableId="1131174018">
    <w:abstractNumId w:val="7"/>
  </w:num>
  <w:num w:numId="7" w16cid:durableId="1541894971">
    <w:abstractNumId w:val="6"/>
  </w:num>
  <w:num w:numId="8" w16cid:durableId="1069308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D3"/>
    <w:rsid w:val="00050CBF"/>
    <w:rsid w:val="00093C68"/>
    <w:rsid w:val="000B41AC"/>
    <w:rsid w:val="000E1091"/>
    <w:rsid w:val="001053B6"/>
    <w:rsid w:val="001166A3"/>
    <w:rsid w:val="00157501"/>
    <w:rsid w:val="00175328"/>
    <w:rsid w:val="001D7472"/>
    <w:rsid w:val="00210B20"/>
    <w:rsid w:val="00282666"/>
    <w:rsid w:val="002B16B1"/>
    <w:rsid w:val="002B53B3"/>
    <w:rsid w:val="00316C75"/>
    <w:rsid w:val="003449E1"/>
    <w:rsid w:val="003607A2"/>
    <w:rsid w:val="00371E9E"/>
    <w:rsid w:val="003B39AE"/>
    <w:rsid w:val="003B3BEE"/>
    <w:rsid w:val="003C13A5"/>
    <w:rsid w:val="004536A3"/>
    <w:rsid w:val="0048089B"/>
    <w:rsid w:val="004E38BE"/>
    <w:rsid w:val="005370DD"/>
    <w:rsid w:val="005718C0"/>
    <w:rsid w:val="005750CB"/>
    <w:rsid w:val="00591976"/>
    <w:rsid w:val="005A428C"/>
    <w:rsid w:val="005F1D35"/>
    <w:rsid w:val="0060358C"/>
    <w:rsid w:val="00686C91"/>
    <w:rsid w:val="006965F4"/>
    <w:rsid w:val="00705874"/>
    <w:rsid w:val="00744A97"/>
    <w:rsid w:val="007A0FE5"/>
    <w:rsid w:val="00855265"/>
    <w:rsid w:val="00863984"/>
    <w:rsid w:val="008B04E9"/>
    <w:rsid w:val="0094550D"/>
    <w:rsid w:val="009668DD"/>
    <w:rsid w:val="009761B5"/>
    <w:rsid w:val="00A251D3"/>
    <w:rsid w:val="00A47A0D"/>
    <w:rsid w:val="00AA223B"/>
    <w:rsid w:val="00AF32AF"/>
    <w:rsid w:val="00B664E6"/>
    <w:rsid w:val="00BE4722"/>
    <w:rsid w:val="00BF70F8"/>
    <w:rsid w:val="00C42600"/>
    <w:rsid w:val="00CA6331"/>
    <w:rsid w:val="00CD0C3A"/>
    <w:rsid w:val="00CE6719"/>
    <w:rsid w:val="00CF1DFE"/>
    <w:rsid w:val="00CF4B4B"/>
    <w:rsid w:val="00D91C2F"/>
    <w:rsid w:val="00DA4A41"/>
    <w:rsid w:val="00DB1DA4"/>
    <w:rsid w:val="00E0781F"/>
    <w:rsid w:val="00E41E5D"/>
    <w:rsid w:val="00EA0D90"/>
    <w:rsid w:val="00EB15DE"/>
    <w:rsid w:val="00F31314"/>
    <w:rsid w:val="00FA2894"/>
    <w:rsid w:val="00FE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F8831"/>
  <w15:chartTrackingRefBased/>
  <w15:docId w15:val="{AA4EEF6A-BBD2-412E-BA1E-73491438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1D3"/>
    <w:pPr>
      <w:ind w:left="720"/>
      <w:contextualSpacing/>
    </w:pPr>
  </w:style>
  <w:style w:type="paragraph" w:styleId="Footer">
    <w:name w:val="footer"/>
    <w:basedOn w:val="Normal"/>
    <w:link w:val="FooterChar"/>
    <w:uiPriority w:val="99"/>
    <w:unhideWhenUsed/>
    <w:rsid w:val="00A25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1D3"/>
  </w:style>
  <w:style w:type="paragraph" w:styleId="Header">
    <w:name w:val="header"/>
    <w:basedOn w:val="Normal"/>
    <w:link w:val="HeaderChar"/>
    <w:uiPriority w:val="99"/>
    <w:unhideWhenUsed/>
    <w:rsid w:val="00C42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600"/>
  </w:style>
  <w:style w:type="paragraph" w:customStyle="1" w:styleId="Default">
    <w:name w:val="Default"/>
    <w:rsid w:val="009668DD"/>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CM2">
    <w:name w:val="CM2"/>
    <w:basedOn w:val="Default"/>
    <w:next w:val="Default"/>
    <w:uiPriority w:val="99"/>
    <w:rsid w:val="009668DD"/>
    <w:rPr>
      <w:color w:val="auto"/>
    </w:rPr>
  </w:style>
  <w:style w:type="paragraph" w:customStyle="1" w:styleId="CM7">
    <w:name w:val="CM7"/>
    <w:basedOn w:val="Default"/>
    <w:next w:val="Default"/>
    <w:uiPriority w:val="99"/>
    <w:rsid w:val="009668DD"/>
    <w:rPr>
      <w:color w:val="auto"/>
    </w:rPr>
  </w:style>
  <w:style w:type="paragraph" w:customStyle="1" w:styleId="CM8">
    <w:name w:val="CM8"/>
    <w:basedOn w:val="Default"/>
    <w:next w:val="Default"/>
    <w:uiPriority w:val="99"/>
    <w:rsid w:val="009668DD"/>
    <w:rPr>
      <w:color w:val="auto"/>
    </w:rPr>
  </w:style>
  <w:style w:type="paragraph" w:styleId="PlainText">
    <w:name w:val="Plain Text"/>
    <w:basedOn w:val="Normal"/>
    <w:link w:val="PlainTextChar"/>
    <w:uiPriority w:val="99"/>
    <w:semiHidden/>
    <w:unhideWhenUsed/>
    <w:rsid w:val="00BE4722"/>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BE4722"/>
    <w:rPr>
      <w:rFonts w:ascii="Calibri" w:eastAsia="Times New Roman" w:hAnsi="Calibri"/>
      <w:szCs w:val="21"/>
    </w:rPr>
  </w:style>
  <w:style w:type="character" w:styleId="Hyperlink">
    <w:name w:val="Hyperlink"/>
    <w:basedOn w:val="DefaultParagraphFont"/>
    <w:uiPriority w:val="99"/>
    <w:unhideWhenUsed/>
    <w:rsid w:val="00863984"/>
    <w:rPr>
      <w:color w:val="0563C1" w:themeColor="hyperlink"/>
      <w:u w:val="single"/>
    </w:rPr>
  </w:style>
  <w:style w:type="character" w:styleId="UnresolvedMention">
    <w:name w:val="Unresolved Mention"/>
    <w:basedOn w:val="DefaultParagraphFont"/>
    <w:uiPriority w:val="99"/>
    <w:semiHidden/>
    <w:unhideWhenUsed/>
    <w:rsid w:val="00744A97"/>
    <w:rPr>
      <w:color w:val="605E5C"/>
      <w:shd w:val="clear" w:color="auto" w:fill="E1DFDD"/>
    </w:rPr>
  </w:style>
  <w:style w:type="paragraph" w:styleId="Revision">
    <w:name w:val="Revision"/>
    <w:hidden/>
    <w:uiPriority w:val="99"/>
    <w:semiHidden/>
    <w:rsid w:val="005750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9348">
      <w:bodyDiv w:val="1"/>
      <w:marLeft w:val="0"/>
      <w:marRight w:val="0"/>
      <w:marTop w:val="0"/>
      <w:marBottom w:val="0"/>
      <w:divBdr>
        <w:top w:val="none" w:sz="0" w:space="0" w:color="auto"/>
        <w:left w:val="none" w:sz="0" w:space="0" w:color="auto"/>
        <w:bottom w:val="none" w:sz="0" w:space="0" w:color="auto"/>
        <w:right w:val="none" w:sz="0" w:space="0" w:color="auto"/>
      </w:divBdr>
    </w:div>
    <w:div w:id="107822572">
      <w:bodyDiv w:val="1"/>
      <w:marLeft w:val="0"/>
      <w:marRight w:val="0"/>
      <w:marTop w:val="0"/>
      <w:marBottom w:val="0"/>
      <w:divBdr>
        <w:top w:val="none" w:sz="0" w:space="0" w:color="auto"/>
        <w:left w:val="none" w:sz="0" w:space="0" w:color="auto"/>
        <w:bottom w:val="none" w:sz="0" w:space="0" w:color="auto"/>
        <w:right w:val="none" w:sz="0" w:space="0" w:color="auto"/>
      </w:divBdr>
    </w:div>
    <w:div w:id="145244730">
      <w:bodyDiv w:val="1"/>
      <w:marLeft w:val="0"/>
      <w:marRight w:val="0"/>
      <w:marTop w:val="0"/>
      <w:marBottom w:val="0"/>
      <w:divBdr>
        <w:top w:val="none" w:sz="0" w:space="0" w:color="auto"/>
        <w:left w:val="none" w:sz="0" w:space="0" w:color="auto"/>
        <w:bottom w:val="none" w:sz="0" w:space="0" w:color="auto"/>
        <w:right w:val="none" w:sz="0" w:space="0" w:color="auto"/>
      </w:divBdr>
    </w:div>
    <w:div w:id="263534985">
      <w:bodyDiv w:val="1"/>
      <w:marLeft w:val="0"/>
      <w:marRight w:val="0"/>
      <w:marTop w:val="0"/>
      <w:marBottom w:val="0"/>
      <w:divBdr>
        <w:top w:val="none" w:sz="0" w:space="0" w:color="auto"/>
        <w:left w:val="none" w:sz="0" w:space="0" w:color="auto"/>
        <w:bottom w:val="none" w:sz="0" w:space="0" w:color="auto"/>
        <w:right w:val="none" w:sz="0" w:space="0" w:color="auto"/>
      </w:divBdr>
    </w:div>
    <w:div w:id="686253192">
      <w:bodyDiv w:val="1"/>
      <w:marLeft w:val="0"/>
      <w:marRight w:val="0"/>
      <w:marTop w:val="0"/>
      <w:marBottom w:val="0"/>
      <w:divBdr>
        <w:top w:val="none" w:sz="0" w:space="0" w:color="auto"/>
        <w:left w:val="none" w:sz="0" w:space="0" w:color="auto"/>
        <w:bottom w:val="none" w:sz="0" w:space="0" w:color="auto"/>
        <w:right w:val="none" w:sz="0" w:space="0" w:color="auto"/>
      </w:divBdr>
    </w:div>
    <w:div w:id="727336664">
      <w:bodyDiv w:val="1"/>
      <w:marLeft w:val="0"/>
      <w:marRight w:val="0"/>
      <w:marTop w:val="0"/>
      <w:marBottom w:val="0"/>
      <w:divBdr>
        <w:top w:val="none" w:sz="0" w:space="0" w:color="auto"/>
        <w:left w:val="none" w:sz="0" w:space="0" w:color="auto"/>
        <w:bottom w:val="none" w:sz="0" w:space="0" w:color="auto"/>
        <w:right w:val="none" w:sz="0" w:space="0" w:color="auto"/>
      </w:divBdr>
    </w:div>
    <w:div w:id="801726331">
      <w:bodyDiv w:val="1"/>
      <w:marLeft w:val="0"/>
      <w:marRight w:val="0"/>
      <w:marTop w:val="0"/>
      <w:marBottom w:val="0"/>
      <w:divBdr>
        <w:top w:val="none" w:sz="0" w:space="0" w:color="auto"/>
        <w:left w:val="none" w:sz="0" w:space="0" w:color="auto"/>
        <w:bottom w:val="none" w:sz="0" w:space="0" w:color="auto"/>
        <w:right w:val="none" w:sz="0" w:space="0" w:color="auto"/>
      </w:divBdr>
    </w:div>
    <w:div w:id="938827639">
      <w:bodyDiv w:val="1"/>
      <w:marLeft w:val="0"/>
      <w:marRight w:val="0"/>
      <w:marTop w:val="0"/>
      <w:marBottom w:val="0"/>
      <w:divBdr>
        <w:top w:val="none" w:sz="0" w:space="0" w:color="auto"/>
        <w:left w:val="none" w:sz="0" w:space="0" w:color="auto"/>
        <w:bottom w:val="none" w:sz="0" w:space="0" w:color="auto"/>
        <w:right w:val="none" w:sz="0" w:space="0" w:color="auto"/>
      </w:divBdr>
    </w:div>
    <w:div w:id="1319336766">
      <w:bodyDiv w:val="1"/>
      <w:marLeft w:val="0"/>
      <w:marRight w:val="0"/>
      <w:marTop w:val="0"/>
      <w:marBottom w:val="0"/>
      <w:divBdr>
        <w:top w:val="none" w:sz="0" w:space="0" w:color="auto"/>
        <w:left w:val="none" w:sz="0" w:space="0" w:color="auto"/>
        <w:bottom w:val="none" w:sz="0" w:space="0" w:color="auto"/>
        <w:right w:val="none" w:sz="0" w:space="0" w:color="auto"/>
      </w:divBdr>
    </w:div>
    <w:div w:id="1331450280">
      <w:bodyDiv w:val="1"/>
      <w:marLeft w:val="0"/>
      <w:marRight w:val="0"/>
      <w:marTop w:val="0"/>
      <w:marBottom w:val="0"/>
      <w:divBdr>
        <w:top w:val="none" w:sz="0" w:space="0" w:color="auto"/>
        <w:left w:val="none" w:sz="0" w:space="0" w:color="auto"/>
        <w:bottom w:val="none" w:sz="0" w:space="0" w:color="auto"/>
        <w:right w:val="none" w:sz="0" w:space="0" w:color="auto"/>
      </w:divBdr>
    </w:div>
    <w:div w:id="1545825481">
      <w:bodyDiv w:val="1"/>
      <w:marLeft w:val="0"/>
      <w:marRight w:val="0"/>
      <w:marTop w:val="0"/>
      <w:marBottom w:val="0"/>
      <w:divBdr>
        <w:top w:val="none" w:sz="0" w:space="0" w:color="auto"/>
        <w:left w:val="none" w:sz="0" w:space="0" w:color="auto"/>
        <w:bottom w:val="none" w:sz="0" w:space="0" w:color="auto"/>
        <w:right w:val="none" w:sz="0" w:space="0" w:color="auto"/>
      </w:divBdr>
    </w:div>
    <w:div w:id="1625693745">
      <w:bodyDiv w:val="1"/>
      <w:marLeft w:val="0"/>
      <w:marRight w:val="0"/>
      <w:marTop w:val="0"/>
      <w:marBottom w:val="0"/>
      <w:divBdr>
        <w:top w:val="none" w:sz="0" w:space="0" w:color="auto"/>
        <w:left w:val="none" w:sz="0" w:space="0" w:color="auto"/>
        <w:bottom w:val="none" w:sz="0" w:space="0" w:color="auto"/>
        <w:right w:val="none" w:sz="0" w:space="0" w:color="auto"/>
      </w:divBdr>
    </w:div>
    <w:div w:id="189943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a.gov/estima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Valeria</dc:creator>
  <cp:keywords/>
  <dc:description/>
  <cp:lastModifiedBy>Thebo, Torri</cp:lastModifiedBy>
  <cp:revision>2</cp:revision>
  <cp:lastPrinted>2024-02-21T19:03:00Z</cp:lastPrinted>
  <dcterms:created xsi:type="dcterms:W3CDTF">2024-08-30T16:22:00Z</dcterms:created>
  <dcterms:modified xsi:type="dcterms:W3CDTF">2024-08-30T16:22:00Z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5a7ac34e,63a3edd0,45c41296</vt:lpwstr>
  </property>
  <property fmtid="{D5CDD505-2E9C-101B-9397-08002B2CF9AE}" pid="3" name="ClassificationContentMarkingFooterFontProps">
    <vt:lpwstr>#737373,9,FS Elliot Pro</vt:lpwstr>
  </property>
  <property fmtid="{D5CDD505-2E9C-101B-9397-08002B2CF9AE}" pid="4" name="ClassificationContentMarkingFooterText">
    <vt:lpwstr>Classification: Internal Use</vt:lpwstr>
  </property>
  <property fmtid="{D5CDD505-2E9C-101B-9397-08002B2CF9AE}" pid="5" name="MSIP_Label_f1a85edf-1344-4c6a-a94e-0a9833d749f3_Enabled">
    <vt:lpwstr>true</vt:lpwstr>
  </property>
  <property fmtid="{D5CDD505-2E9C-101B-9397-08002B2CF9AE}" pid="6" name="MSIP_Label_f1a85edf-1344-4c6a-a94e-0a9833d749f3_SetDate">
    <vt:lpwstr>2024-02-21T19:06:13Z</vt:lpwstr>
  </property>
  <property fmtid="{D5CDD505-2E9C-101B-9397-08002B2CF9AE}" pid="7" name="MSIP_Label_f1a85edf-1344-4c6a-a94e-0a9833d749f3_Method">
    <vt:lpwstr>Privileged</vt:lpwstr>
  </property>
  <property fmtid="{D5CDD505-2E9C-101B-9397-08002B2CF9AE}" pid="8" name="MSIP_Label_f1a85edf-1344-4c6a-a94e-0a9833d749f3_Name">
    <vt:lpwstr>Personal</vt:lpwstr>
  </property>
  <property fmtid="{D5CDD505-2E9C-101B-9397-08002B2CF9AE}" pid="9" name="MSIP_Label_f1a85edf-1344-4c6a-a94e-0a9833d749f3_SiteId">
    <vt:lpwstr>3bea478c-1684-4a8c-8e85-045ec54ba430</vt:lpwstr>
  </property>
  <property fmtid="{D5CDD505-2E9C-101B-9397-08002B2CF9AE}" pid="10" name="MSIP_Label_f1a85edf-1344-4c6a-a94e-0a9833d749f3_ActionId">
    <vt:lpwstr>aa4395d1-8eb9-4830-886b-fbbffec96b80</vt:lpwstr>
  </property>
  <property fmtid="{D5CDD505-2E9C-101B-9397-08002B2CF9AE}" pid="11" name="MSIP_Label_f1a85edf-1344-4c6a-a94e-0a9833d749f3_ContentBits">
    <vt:lpwstr>2</vt:lpwstr>
  </property>
</Properties>
</file>